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b w:val="1"/>
          <w:color w:val="283c83"/>
          <w:sz w:val="24"/>
          <w:szCs w:val="24"/>
        </w:rPr>
      </w:pPr>
      <w:r w:rsidDel="00000000" w:rsidR="00000000" w:rsidRPr="00000000">
        <w:rPr>
          <w:b w:val="1"/>
          <w:color w:val="283c83"/>
          <w:sz w:val="24"/>
          <w:szCs w:val="24"/>
          <w:rtl w:val="0"/>
        </w:rPr>
        <w:t xml:space="preserve">Dampening UK outlook</w:t>
      </w:r>
    </w:p>
    <w:p w:rsidR="00000000" w:rsidDel="00000000" w:rsidP="00000000" w:rsidRDefault="00000000" w:rsidRPr="00000000" w14:paraId="00000002">
      <w:pPr>
        <w:shd w:fill="ffffff" w:val="clear"/>
        <w:rPr>
          <w:b w:val="1"/>
          <w:color w:val="808080"/>
          <w:sz w:val="18"/>
          <w:szCs w:val="18"/>
        </w:rPr>
      </w:pPr>
      <w:r w:rsidDel="00000000" w:rsidR="00000000" w:rsidRPr="00000000">
        <w:rPr>
          <w:b w:val="1"/>
          <w:color w:val="808080"/>
          <w:sz w:val="18"/>
          <w:szCs w:val="18"/>
          <w:rtl w:val="0"/>
        </w:rPr>
        <w:t xml:space="preserve">25</w:t>
      </w:r>
      <w:r w:rsidDel="00000000" w:rsidR="00000000" w:rsidRPr="00000000">
        <w:rPr>
          <w:b w:val="1"/>
          <w:color w:val="808080"/>
          <w:sz w:val="18"/>
          <w:szCs w:val="18"/>
          <w:vertAlign w:val="superscript"/>
          <w:rtl w:val="0"/>
        </w:rPr>
        <w:t xml:space="preserve">th</w:t>
      </w:r>
      <w:r w:rsidDel="00000000" w:rsidR="00000000" w:rsidRPr="00000000">
        <w:rPr>
          <w:b w:val="1"/>
          <w:color w:val="808080"/>
          <w:sz w:val="18"/>
          <w:szCs w:val="18"/>
          <w:rtl w:val="0"/>
        </w:rPr>
        <w:t xml:space="preserve"> May 2022</w:t>
      </w:r>
    </w:p>
    <w:p w:rsidR="00000000" w:rsidDel="00000000" w:rsidP="00000000" w:rsidRDefault="00000000" w:rsidRPr="00000000" w14:paraId="00000003">
      <w:pPr>
        <w:shd w:fill="ffffff" w:val="clear"/>
        <w:rPr>
          <w:b w:val="1"/>
          <w:color w:val="808080"/>
          <w:sz w:val="18"/>
          <w:szCs w:val="18"/>
        </w:rPr>
      </w:pPr>
      <w:r w:rsidDel="00000000" w:rsidR="00000000" w:rsidRPr="00000000">
        <w:rPr>
          <w:b w:val="1"/>
          <w:color w:val="808080"/>
          <w:sz w:val="18"/>
          <w:szCs w:val="18"/>
          <w:rtl w:val="0"/>
        </w:rPr>
        <w:t xml:space="preserve"> </w:t>
      </w:r>
    </w:p>
    <w:p w:rsidR="00000000" w:rsidDel="00000000" w:rsidP="00000000" w:rsidRDefault="00000000" w:rsidRPr="00000000" w14:paraId="00000004">
      <w:pPr>
        <w:shd w:fill="ffffff" w:val="clear"/>
        <w:rPr>
          <w:color w:val="222222"/>
          <w:sz w:val="20"/>
          <w:szCs w:val="20"/>
        </w:rPr>
      </w:pPr>
      <w:r w:rsidDel="00000000" w:rsidR="00000000" w:rsidRPr="00000000">
        <w:rPr>
          <w:color w:val="222222"/>
          <w:sz w:val="20"/>
          <w:szCs w:val="20"/>
          <w:rtl w:val="0"/>
        </w:rPr>
        <w:t xml:space="preserve">Relative to its historic lacklustre performance, the FTSE 100 has started the year promisingly versus other global indices. Whilst this performance was initially buoyed by the market rotation at the start of the year, it has since been driven higher by the war in Ukraine and its impact on energy and commodities, to which the FTSE has significant exposure.</w:t>
      </w:r>
    </w:p>
    <w:p w:rsidR="00000000" w:rsidDel="00000000" w:rsidP="00000000" w:rsidRDefault="00000000" w:rsidRPr="00000000" w14:paraId="00000005">
      <w:pPr>
        <w:shd w:fill="ffffff" w:val="clear"/>
        <w:rPr>
          <w:b w:val="1"/>
          <w:color w:val="0000ff"/>
          <w:sz w:val="20"/>
          <w:szCs w:val="20"/>
        </w:rPr>
      </w:pPr>
      <w:r w:rsidDel="00000000" w:rsidR="00000000" w:rsidRPr="00000000">
        <w:rPr>
          <w:b w:val="1"/>
          <w:color w:val="0000ff"/>
          <w:sz w:val="20"/>
          <w:szCs w:val="20"/>
          <w:rtl w:val="0"/>
        </w:rPr>
        <w:t xml:space="preserve"> </w:t>
      </w:r>
    </w:p>
    <w:p w:rsidR="00000000" w:rsidDel="00000000" w:rsidP="00000000" w:rsidRDefault="00000000" w:rsidRPr="00000000" w14:paraId="00000006">
      <w:pPr>
        <w:shd w:fill="ffffff" w:val="clear"/>
        <w:rPr>
          <w:b w:val="1"/>
          <w:color w:val="222222"/>
          <w:sz w:val="20"/>
          <w:szCs w:val="20"/>
        </w:rPr>
      </w:pPr>
      <w:r w:rsidDel="00000000" w:rsidR="00000000" w:rsidRPr="00000000">
        <w:rPr>
          <w:b w:val="1"/>
          <w:color w:val="222222"/>
          <w:sz w:val="20"/>
          <w:szCs w:val="20"/>
          <w:rtl w:val="0"/>
        </w:rPr>
        <w:t xml:space="preserve">UK stock markets vs other global indices</w:t>
      </w:r>
    </w:p>
    <w:p w:rsidR="00000000" w:rsidDel="00000000" w:rsidP="00000000" w:rsidRDefault="00000000" w:rsidRPr="00000000" w14:paraId="00000007">
      <w:pPr>
        <w:shd w:fill="ffffff" w:val="clear"/>
        <w:rPr>
          <w:b w:val="1"/>
          <w:color w:val="222222"/>
          <w:sz w:val="20"/>
          <w:szCs w:val="20"/>
        </w:rPr>
      </w:pPr>
      <w:r w:rsidDel="00000000" w:rsidR="00000000" w:rsidRPr="00000000">
        <w:rPr>
          <w:b w:val="1"/>
          <w:color w:val="222222"/>
          <w:sz w:val="20"/>
          <w:szCs w:val="20"/>
        </w:rPr>
        <w:drawing>
          <wp:inline distB="114300" distT="114300" distL="114300" distR="114300">
            <wp:extent cx="5553075" cy="342900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553075" cy="34290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shd w:fill="ffffff" w:val="clear"/>
        <w:rPr>
          <w:color w:val="222222"/>
          <w:sz w:val="20"/>
          <w:szCs w:val="20"/>
        </w:rPr>
      </w:pPr>
      <w:r w:rsidDel="00000000" w:rsidR="00000000" w:rsidRPr="00000000">
        <w:rPr>
          <w:color w:val="222222"/>
          <w:sz w:val="20"/>
          <w:szCs w:val="20"/>
          <w:rtl w:val="0"/>
        </w:rPr>
        <w:t xml:space="preserve">Source: FE Analytics</w:t>
      </w:r>
    </w:p>
    <w:p w:rsidR="00000000" w:rsidDel="00000000" w:rsidP="00000000" w:rsidRDefault="00000000" w:rsidRPr="00000000" w14:paraId="00000009">
      <w:pPr>
        <w:shd w:fill="ffffff" w:val="clear"/>
        <w:rPr>
          <w:color w:val="222222"/>
          <w:sz w:val="20"/>
          <w:szCs w:val="20"/>
        </w:rPr>
      </w:pPr>
      <w:r w:rsidDel="00000000" w:rsidR="00000000" w:rsidRPr="00000000">
        <w:rPr>
          <w:color w:val="222222"/>
          <w:sz w:val="20"/>
          <w:szCs w:val="20"/>
          <w:rtl w:val="0"/>
        </w:rPr>
        <w:t xml:space="preserve"> </w:t>
      </w:r>
    </w:p>
    <w:p w:rsidR="00000000" w:rsidDel="00000000" w:rsidP="00000000" w:rsidRDefault="00000000" w:rsidRPr="00000000" w14:paraId="0000000A">
      <w:pPr>
        <w:shd w:fill="ffffff" w:val="clear"/>
        <w:rPr>
          <w:color w:val="222222"/>
          <w:sz w:val="20"/>
          <w:szCs w:val="20"/>
        </w:rPr>
      </w:pPr>
      <w:r w:rsidDel="00000000" w:rsidR="00000000" w:rsidRPr="00000000">
        <w:rPr>
          <w:color w:val="222222"/>
          <w:sz w:val="20"/>
          <w:szCs w:val="20"/>
          <w:rtl w:val="0"/>
        </w:rPr>
        <w:t xml:space="preserve">As seen above, this has meant the main UK index is the only one out of the US, Europe and Japan to be in positive territory year-to-date (YTD). However, whilst stock market returns have shown promise, the outlook for the economy itself is not looking so rosy and there is a real risk of stagflation (rising inflation and stagnant economic growth) rearing its ugly head. Sentiment towards this can be seen by looking at the FTSE 250 or FTSE Small Cap index, which are more accurate reflections of the health of the UK economy and are both down so far YTD.</w:t>
      </w:r>
    </w:p>
    <w:p w:rsidR="00000000" w:rsidDel="00000000" w:rsidP="00000000" w:rsidRDefault="00000000" w:rsidRPr="00000000" w14:paraId="0000000B">
      <w:pPr>
        <w:shd w:fill="ffffff" w:val="clear"/>
        <w:rPr>
          <w:color w:val="222222"/>
          <w:sz w:val="20"/>
          <w:szCs w:val="20"/>
        </w:rPr>
      </w:pPr>
      <w:r w:rsidDel="00000000" w:rsidR="00000000" w:rsidRPr="00000000">
        <w:rPr>
          <w:color w:val="222222"/>
          <w:sz w:val="20"/>
          <w:szCs w:val="20"/>
          <w:rtl w:val="0"/>
        </w:rPr>
        <w:t xml:space="preserve"> </w:t>
      </w:r>
    </w:p>
    <w:p w:rsidR="00000000" w:rsidDel="00000000" w:rsidP="00000000" w:rsidRDefault="00000000" w:rsidRPr="00000000" w14:paraId="0000000C">
      <w:pPr>
        <w:shd w:fill="ffffff" w:val="clear"/>
        <w:rPr>
          <w:b w:val="1"/>
          <w:color w:val="222222"/>
          <w:sz w:val="20"/>
          <w:szCs w:val="20"/>
        </w:rPr>
      </w:pPr>
      <w:r w:rsidDel="00000000" w:rsidR="00000000" w:rsidRPr="00000000">
        <w:rPr>
          <w:b w:val="1"/>
          <w:color w:val="222222"/>
          <w:sz w:val="20"/>
          <w:szCs w:val="20"/>
          <w:rtl w:val="0"/>
        </w:rPr>
        <w:t xml:space="preserve">Inflation</w:t>
      </w:r>
    </w:p>
    <w:p w:rsidR="00000000" w:rsidDel="00000000" w:rsidP="00000000" w:rsidRDefault="00000000" w:rsidRPr="00000000" w14:paraId="0000000D">
      <w:pPr>
        <w:shd w:fill="ffffff" w:val="clear"/>
        <w:rPr>
          <w:color w:val="222222"/>
          <w:sz w:val="20"/>
          <w:szCs w:val="20"/>
        </w:rPr>
      </w:pPr>
      <w:r w:rsidDel="00000000" w:rsidR="00000000" w:rsidRPr="00000000">
        <w:rPr>
          <w:color w:val="222222"/>
          <w:sz w:val="20"/>
          <w:szCs w:val="20"/>
          <w:rtl w:val="0"/>
        </w:rPr>
        <w:t xml:space="preserve">It seems appropriate to first look at inflation, as this has grabbed the mainstream headlines and has significant knock-on effects for the economy. UK CPI jumped to 9% in the 12 months to April, a 40 year high</w:t>
      </w:r>
      <w:hyperlink r:id="rId7">
        <w:r w:rsidDel="00000000" w:rsidR="00000000" w:rsidRPr="00000000">
          <w:rPr>
            <w:color w:val="1155cc"/>
            <w:sz w:val="34"/>
            <w:szCs w:val="34"/>
            <w:u w:val="single"/>
            <w:vertAlign w:val="superscript"/>
            <w:rtl w:val="0"/>
          </w:rPr>
          <w:t xml:space="preserve">[1]</w:t>
        </w:r>
      </w:hyperlink>
      <w:r w:rsidDel="00000000" w:rsidR="00000000" w:rsidRPr="00000000">
        <w:rPr>
          <w:color w:val="222222"/>
          <w:sz w:val="20"/>
          <w:szCs w:val="20"/>
          <w:rtl w:val="0"/>
        </w:rPr>
        <w:t xml:space="preserve">. This came from the removal of the energy price cap last month but was also stoked higher by the inflationary aspect from the war in Ukraine and other supply chain disruptions caused by Brexit and the COVID-19 lockdowns in China. None of those factors seem to be abating any time soon and the energy price cap looks set to be increased again in October by another 54% according to Ofgem. To put the recent CPI reading into perspective, the UK now has the highest rate of inflation of any G7 country.</w:t>
      </w:r>
    </w:p>
    <w:p w:rsidR="00000000" w:rsidDel="00000000" w:rsidP="00000000" w:rsidRDefault="00000000" w:rsidRPr="00000000" w14:paraId="0000000E">
      <w:pPr>
        <w:shd w:fill="ffffff" w:val="clear"/>
        <w:rPr>
          <w:color w:val="222222"/>
          <w:sz w:val="20"/>
          <w:szCs w:val="20"/>
        </w:rPr>
      </w:pPr>
      <w:r w:rsidDel="00000000" w:rsidR="00000000" w:rsidRPr="00000000">
        <w:rPr>
          <w:color w:val="222222"/>
          <w:sz w:val="20"/>
          <w:szCs w:val="20"/>
          <w:rtl w:val="0"/>
        </w:rPr>
        <w:t xml:space="preserve"> </w:t>
      </w:r>
    </w:p>
    <w:p w:rsidR="00000000" w:rsidDel="00000000" w:rsidP="00000000" w:rsidRDefault="00000000" w:rsidRPr="00000000" w14:paraId="0000000F">
      <w:pPr>
        <w:shd w:fill="ffffff" w:val="clear"/>
        <w:rPr>
          <w:color w:val="222222"/>
          <w:sz w:val="20"/>
          <w:szCs w:val="20"/>
        </w:rPr>
      </w:pPr>
      <w:r w:rsidDel="00000000" w:rsidR="00000000" w:rsidRPr="00000000">
        <w:rPr>
          <w:color w:val="222222"/>
          <w:sz w:val="20"/>
          <w:szCs w:val="20"/>
          <w:rtl w:val="0"/>
        </w:rPr>
        <w:t xml:space="preserve">The UK is a large net importer of goods and much more reliant on them than its counterparts across the pond and on the continent, meaning the economy is susceptible to exchange rate swings and thus inflation. Moreover, as the economy’s outlook turns bleaker, pound sterling does not look as attractive for investors, as it is typically viewed as a proxy for relative macroeconomic performance.</w:t>
      </w:r>
    </w:p>
    <w:p w:rsidR="00000000" w:rsidDel="00000000" w:rsidP="00000000" w:rsidRDefault="00000000" w:rsidRPr="00000000" w14:paraId="00000010">
      <w:pPr>
        <w:shd w:fill="ffffff" w:val="clear"/>
        <w:rPr>
          <w:color w:val="222222"/>
          <w:sz w:val="20"/>
          <w:szCs w:val="20"/>
        </w:rPr>
      </w:pPr>
      <w:r w:rsidDel="00000000" w:rsidR="00000000" w:rsidRPr="00000000">
        <w:rPr>
          <w:color w:val="222222"/>
          <w:sz w:val="20"/>
          <w:szCs w:val="20"/>
          <w:rtl w:val="0"/>
        </w:rPr>
        <w:t xml:space="preserve"> </w:t>
      </w:r>
    </w:p>
    <w:p w:rsidR="00000000" w:rsidDel="00000000" w:rsidP="00000000" w:rsidRDefault="00000000" w:rsidRPr="00000000" w14:paraId="00000011">
      <w:pPr>
        <w:shd w:fill="ffffff" w:val="clear"/>
        <w:rPr>
          <w:b w:val="1"/>
          <w:color w:val="222222"/>
          <w:sz w:val="20"/>
          <w:szCs w:val="20"/>
        </w:rPr>
      </w:pPr>
      <w:r w:rsidDel="00000000" w:rsidR="00000000" w:rsidRPr="00000000">
        <w:rPr>
          <w:b w:val="1"/>
          <w:color w:val="222222"/>
          <w:sz w:val="20"/>
          <w:szCs w:val="20"/>
          <w:rtl w:val="0"/>
        </w:rPr>
        <w:t xml:space="preserve">Labour market</w:t>
      </w:r>
    </w:p>
    <w:p w:rsidR="00000000" w:rsidDel="00000000" w:rsidP="00000000" w:rsidRDefault="00000000" w:rsidRPr="00000000" w14:paraId="00000012">
      <w:pPr>
        <w:shd w:fill="ffffff" w:val="clear"/>
        <w:rPr>
          <w:color w:val="222222"/>
          <w:sz w:val="20"/>
          <w:szCs w:val="20"/>
        </w:rPr>
      </w:pPr>
      <w:r w:rsidDel="00000000" w:rsidR="00000000" w:rsidRPr="00000000">
        <w:rPr>
          <w:color w:val="222222"/>
          <w:sz w:val="20"/>
          <w:szCs w:val="20"/>
          <w:rtl w:val="0"/>
        </w:rPr>
        <w:t xml:space="preserve">The labour market in the UK is incredibly tight – there are currently more job vacancies than unemployed people. This is partly because many people dropped out of the labour market during the pandemic; although, this trend may reverse as the cost of living crisis pinches on the purse strings and might make some people reconsider their retirement plans. Another factor continues to be the impact Brexit is having on sourcing people to fill said job vacancies.</w:t>
      </w:r>
    </w:p>
    <w:p w:rsidR="00000000" w:rsidDel="00000000" w:rsidP="00000000" w:rsidRDefault="00000000" w:rsidRPr="00000000" w14:paraId="00000013">
      <w:pPr>
        <w:shd w:fill="ffffff" w:val="clear"/>
        <w:rPr>
          <w:color w:val="222222"/>
          <w:sz w:val="20"/>
          <w:szCs w:val="20"/>
        </w:rPr>
      </w:pPr>
      <w:r w:rsidDel="00000000" w:rsidR="00000000" w:rsidRPr="00000000">
        <w:rPr>
          <w:color w:val="222222"/>
          <w:sz w:val="20"/>
          <w:szCs w:val="20"/>
          <w:rtl w:val="0"/>
        </w:rPr>
        <w:t xml:space="preserve"> </w:t>
      </w:r>
    </w:p>
    <w:p w:rsidR="00000000" w:rsidDel="00000000" w:rsidP="00000000" w:rsidRDefault="00000000" w:rsidRPr="00000000" w14:paraId="00000014">
      <w:pPr>
        <w:shd w:fill="ffffff" w:val="clear"/>
        <w:rPr>
          <w:color w:val="222222"/>
          <w:sz w:val="20"/>
          <w:szCs w:val="20"/>
        </w:rPr>
      </w:pPr>
      <w:r w:rsidDel="00000000" w:rsidR="00000000" w:rsidRPr="00000000">
        <w:rPr>
          <w:color w:val="222222"/>
          <w:sz w:val="20"/>
          <w:szCs w:val="20"/>
          <w:rtl w:val="0"/>
        </w:rPr>
        <w:t xml:space="preserve">A concern is that if inflation persists, as currently expected, then the labour market tightness may lead to a wage price spiral – that is, employees demand higher wages, which companies aim to offset by hiking their prices further. A spiral can also be instigated as companies seek people to fill those positions and are forced to pay above the odds to secure the talent.</w:t>
      </w:r>
    </w:p>
    <w:p w:rsidR="00000000" w:rsidDel="00000000" w:rsidP="00000000" w:rsidRDefault="00000000" w:rsidRPr="00000000" w14:paraId="00000015">
      <w:pPr>
        <w:shd w:fill="ffffff" w:val="clear"/>
        <w:rPr>
          <w:color w:val="222222"/>
          <w:sz w:val="20"/>
          <w:szCs w:val="20"/>
        </w:rPr>
      </w:pPr>
      <w:r w:rsidDel="00000000" w:rsidR="00000000" w:rsidRPr="00000000">
        <w:rPr>
          <w:color w:val="222222"/>
          <w:sz w:val="20"/>
          <w:szCs w:val="20"/>
          <w:rtl w:val="0"/>
        </w:rPr>
        <w:t xml:space="preserve"> </w:t>
      </w:r>
    </w:p>
    <w:p w:rsidR="00000000" w:rsidDel="00000000" w:rsidP="00000000" w:rsidRDefault="00000000" w:rsidRPr="00000000" w14:paraId="00000016">
      <w:pPr>
        <w:shd w:fill="ffffff" w:val="clear"/>
        <w:rPr>
          <w:b w:val="1"/>
          <w:color w:val="222222"/>
          <w:sz w:val="20"/>
          <w:szCs w:val="20"/>
        </w:rPr>
      </w:pPr>
      <w:r w:rsidDel="00000000" w:rsidR="00000000" w:rsidRPr="00000000">
        <w:rPr>
          <w:b w:val="1"/>
          <w:color w:val="222222"/>
          <w:sz w:val="20"/>
          <w:szCs w:val="20"/>
          <w:rtl w:val="0"/>
        </w:rPr>
        <w:t xml:space="preserve">Fewer Britons aged 50-64 are choosing to work</w:t>
      </w:r>
    </w:p>
    <w:p w:rsidR="00000000" w:rsidDel="00000000" w:rsidP="00000000" w:rsidRDefault="00000000" w:rsidRPr="00000000" w14:paraId="00000017">
      <w:pPr>
        <w:shd w:fill="ffffff" w:val="clear"/>
        <w:rPr>
          <w:b w:val="1"/>
          <w:color w:val="222222"/>
          <w:sz w:val="20"/>
          <w:szCs w:val="20"/>
        </w:rPr>
      </w:pPr>
      <w:r w:rsidDel="00000000" w:rsidR="00000000" w:rsidRPr="00000000">
        <w:rPr>
          <w:b w:val="1"/>
          <w:color w:val="222222"/>
          <w:sz w:val="20"/>
          <w:szCs w:val="20"/>
        </w:rPr>
        <w:drawing>
          <wp:inline distB="114300" distT="114300" distL="114300" distR="114300">
            <wp:extent cx="5731200" cy="375920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731200" cy="375920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shd w:fill="ffffff" w:val="clear"/>
        <w:rPr>
          <w:color w:val="222222"/>
          <w:sz w:val="20"/>
          <w:szCs w:val="20"/>
        </w:rPr>
      </w:pPr>
      <w:r w:rsidDel="00000000" w:rsidR="00000000" w:rsidRPr="00000000">
        <w:rPr>
          <w:color w:val="222222"/>
          <w:sz w:val="20"/>
          <w:szCs w:val="20"/>
          <w:rtl w:val="0"/>
        </w:rPr>
        <w:t xml:space="preserve">Source: Gavekal Research / Macrobond (13/05/2022)</w:t>
      </w:r>
    </w:p>
    <w:p w:rsidR="00000000" w:rsidDel="00000000" w:rsidP="00000000" w:rsidRDefault="00000000" w:rsidRPr="00000000" w14:paraId="00000019">
      <w:pPr>
        <w:shd w:fill="ffffff" w:val="clear"/>
        <w:rPr>
          <w:color w:val="222222"/>
          <w:sz w:val="20"/>
          <w:szCs w:val="20"/>
        </w:rPr>
      </w:pPr>
      <w:r w:rsidDel="00000000" w:rsidR="00000000" w:rsidRPr="00000000">
        <w:rPr>
          <w:color w:val="222222"/>
          <w:sz w:val="20"/>
          <w:szCs w:val="20"/>
          <w:rtl w:val="0"/>
        </w:rPr>
        <w:t xml:space="preserve"> </w:t>
      </w:r>
    </w:p>
    <w:p w:rsidR="00000000" w:rsidDel="00000000" w:rsidP="00000000" w:rsidRDefault="00000000" w:rsidRPr="00000000" w14:paraId="0000001A">
      <w:pPr>
        <w:shd w:fill="ffffff" w:val="clear"/>
        <w:rPr>
          <w:b w:val="1"/>
          <w:color w:val="222222"/>
          <w:sz w:val="20"/>
          <w:szCs w:val="20"/>
        </w:rPr>
      </w:pPr>
      <w:r w:rsidDel="00000000" w:rsidR="00000000" w:rsidRPr="00000000">
        <w:rPr>
          <w:b w:val="1"/>
          <w:color w:val="222222"/>
          <w:sz w:val="20"/>
          <w:szCs w:val="20"/>
          <w:rtl w:val="0"/>
        </w:rPr>
        <w:t xml:space="preserve">Monetary policy</w:t>
      </w:r>
    </w:p>
    <w:p w:rsidR="00000000" w:rsidDel="00000000" w:rsidP="00000000" w:rsidRDefault="00000000" w:rsidRPr="00000000" w14:paraId="0000001B">
      <w:pPr>
        <w:shd w:fill="ffffff" w:val="clear"/>
        <w:rPr>
          <w:color w:val="222222"/>
          <w:sz w:val="20"/>
          <w:szCs w:val="20"/>
        </w:rPr>
      </w:pPr>
      <w:r w:rsidDel="00000000" w:rsidR="00000000" w:rsidRPr="00000000">
        <w:rPr>
          <w:color w:val="222222"/>
          <w:sz w:val="20"/>
          <w:szCs w:val="20"/>
          <w:rtl w:val="0"/>
        </w:rPr>
        <w:t xml:space="preserve">The Bank of England was the first out of the US and Europe to hike interest rates in an attempt to combat rising inflation. They are clearly trying to balance a very tight labour market with the rising cost of living crisis. The tight labour market risks wages rising materially higher. On the other hand, given the rise in energy costs, they now forecast inflation to peak above 10% in the fourth quarter of this year. Ideally, the BoE would like to support households and the economy, but it is also attempting to ease inflationary pressures whilst maintaining real incomes, which would constrain consumer spending.</w:t>
      </w:r>
    </w:p>
    <w:p w:rsidR="00000000" w:rsidDel="00000000" w:rsidP="00000000" w:rsidRDefault="00000000" w:rsidRPr="00000000" w14:paraId="0000001C">
      <w:pPr>
        <w:shd w:fill="ffffff" w:val="clear"/>
        <w:rPr>
          <w:color w:val="222222"/>
          <w:sz w:val="20"/>
          <w:szCs w:val="20"/>
        </w:rPr>
      </w:pPr>
      <w:r w:rsidDel="00000000" w:rsidR="00000000" w:rsidRPr="00000000">
        <w:rPr>
          <w:color w:val="222222"/>
          <w:sz w:val="20"/>
          <w:szCs w:val="20"/>
          <w:rtl w:val="0"/>
        </w:rPr>
        <w:t xml:space="preserve"> </w:t>
      </w:r>
    </w:p>
    <w:p w:rsidR="00000000" w:rsidDel="00000000" w:rsidP="00000000" w:rsidRDefault="00000000" w:rsidRPr="00000000" w14:paraId="0000001D">
      <w:pPr>
        <w:shd w:fill="ffffff" w:val="clear"/>
        <w:rPr>
          <w:b w:val="1"/>
          <w:color w:val="222222"/>
          <w:sz w:val="20"/>
          <w:szCs w:val="20"/>
        </w:rPr>
      </w:pPr>
      <w:r w:rsidDel="00000000" w:rsidR="00000000" w:rsidRPr="00000000">
        <w:rPr>
          <w:b w:val="1"/>
          <w:color w:val="222222"/>
          <w:sz w:val="20"/>
          <w:szCs w:val="20"/>
          <w:rtl w:val="0"/>
        </w:rPr>
        <w:t xml:space="preserve">Overarching impact</w:t>
      </w:r>
    </w:p>
    <w:p w:rsidR="00000000" w:rsidDel="00000000" w:rsidP="00000000" w:rsidRDefault="00000000" w:rsidRPr="00000000" w14:paraId="0000001E">
      <w:pPr>
        <w:shd w:fill="ffffff" w:val="clear"/>
        <w:rPr>
          <w:color w:val="222222"/>
          <w:sz w:val="20"/>
          <w:szCs w:val="20"/>
        </w:rPr>
      </w:pPr>
      <w:r w:rsidDel="00000000" w:rsidR="00000000" w:rsidRPr="00000000">
        <w:rPr>
          <w:color w:val="222222"/>
          <w:sz w:val="20"/>
          <w:szCs w:val="20"/>
          <w:rtl w:val="0"/>
        </w:rPr>
        <w:t xml:space="preserve">Recession risk has clearly risen across all markets over the last few months as energy prices act as a dampener on demand. However, we feel this risk is particularly acute in the UK; the combination of having the labour tightness of the US plus the energy crisis of Europe, along with Brexit implications is a serious headwind for the UK economy. These factors are having a negative impact on many macro data points and a technical recession in the second half of the year presents a real risk. </w:t>
      </w:r>
    </w:p>
    <w:p w:rsidR="00000000" w:rsidDel="00000000" w:rsidP="00000000" w:rsidRDefault="00000000" w:rsidRPr="00000000" w14:paraId="0000001F">
      <w:pPr>
        <w:shd w:fill="ffffff" w:val="clear"/>
        <w:rPr>
          <w:color w:val="222222"/>
          <w:sz w:val="20"/>
          <w:szCs w:val="20"/>
        </w:rPr>
      </w:pPr>
      <w:r w:rsidDel="00000000" w:rsidR="00000000" w:rsidRPr="00000000">
        <w:rPr>
          <w:color w:val="222222"/>
          <w:sz w:val="20"/>
          <w:szCs w:val="20"/>
          <w:rtl w:val="0"/>
        </w:rPr>
        <w:t xml:space="preserve"> </w:t>
      </w:r>
    </w:p>
    <w:p w:rsidR="00000000" w:rsidDel="00000000" w:rsidP="00000000" w:rsidRDefault="00000000" w:rsidRPr="00000000" w14:paraId="00000020">
      <w:pPr>
        <w:shd w:fill="ffffff" w:val="clear"/>
        <w:rPr>
          <w:color w:val="222222"/>
          <w:sz w:val="20"/>
          <w:szCs w:val="20"/>
        </w:rPr>
      </w:pPr>
      <w:r w:rsidDel="00000000" w:rsidR="00000000" w:rsidRPr="00000000">
        <w:rPr>
          <w:color w:val="222222"/>
          <w:sz w:val="20"/>
          <w:szCs w:val="20"/>
          <w:rtl w:val="0"/>
        </w:rPr>
        <w:t xml:space="preserve">The GfK Consumer Confidence indicator in the UK hit a record low of -40 in May, surpassing the previous record low of -39 set in July 2008</w:t>
      </w:r>
      <w:hyperlink r:id="rId9">
        <w:r w:rsidDel="00000000" w:rsidR="00000000" w:rsidRPr="00000000">
          <w:rPr>
            <w:color w:val="1155cc"/>
            <w:sz w:val="34"/>
            <w:szCs w:val="34"/>
            <w:u w:val="single"/>
            <w:vertAlign w:val="superscript"/>
            <w:rtl w:val="0"/>
          </w:rPr>
          <w:t xml:space="preserve">[2]</w:t>
        </w:r>
      </w:hyperlink>
      <w:r w:rsidDel="00000000" w:rsidR="00000000" w:rsidRPr="00000000">
        <w:rPr>
          <w:color w:val="222222"/>
          <w:sz w:val="20"/>
          <w:szCs w:val="20"/>
          <w:rtl w:val="0"/>
        </w:rPr>
        <w:t xml:space="preserve">. Put another way, at this time consumers in the UK feel we are in darker days than the global financial crisis, the impact of Brexit on the economy, and the COVID-19 lockdown.</w:t>
      </w:r>
    </w:p>
    <w:p w:rsidR="00000000" w:rsidDel="00000000" w:rsidP="00000000" w:rsidRDefault="00000000" w:rsidRPr="00000000" w14:paraId="00000021">
      <w:pPr>
        <w:shd w:fill="ffffff" w:val="clear"/>
        <w:rPr>
          <w:color w:val="222222"/>
          <w:sz w:val="20"/>
          <w:szCs w:val="20"/>
        </w:rPr>
      </w:pPr>
      <w:r w:rsidDel="00000000" w:rsidR="00000000" w:rsidRPr="00000000">
        <w:rPr>
          <w:color w:val="222222"/>
          <w:sz w:val="20"/>
          <w:szCs w:val="20"/>
          <w:rtl w:val="0"/>
        </w:rPr>
        <w:t xml:space="preserve"> </w:t>
      </w:r>
    </w:p>
    <w:p w:rsidR="00000000" w:rsidDel="00000000" w:rsidP="00000000" w:rsidRDefault="00000000" w:rsidRPr="00000000" w14:paraId="00000022">
      <w:pPr>
        <w:shd w:fill="ffffff" w:val="clear"/>
        <w:rPr>
          <w:color w:val="222222"/>
          <w:sz w:val="20"/>
          <w:szCs w:val="20"/>
        </w:rPr>
      </w:pPr>
      <w:r w:rsidDel="00000000" w:rsidR="00000000" w:rsidRPr="00000000">
        <w:rPr>
          <w:color w:val="222222"/>
          <w:sz w:val="20"/>
          <w:szCs w:val="20"/>
          <w:rtl w:val="0"/>
        </w:rPr>
        <w:t xml:space="preserve">UK manufacturing Purchasing Managers’ Index (PMI) fell to a 16-month low on Tuesday – although by coming in at 54.6, it is not yet in contractionary territory</w:t>
      </w:r>
      <w:hyperlink r:id="rId10">
        <w:r w:rsidDel="00000000" w:rsidR="00000000" w:rsidRPr="00000000">
          <w:rPr>
            <w:color w:val="1155cc"/>
            <w:sz w:val="34"/>
            <w:szCs w:val="34"/>
            <w:u w:val="single"/>
            <w:vertAlign w:val="superscript"/>
            <w:rtl w:val="0"/>
          </w:rPr>
          <w:t xml:space="preserve">[3]</w:t>
        </w:r>
      </w:hyperlink>
      <w:r w:rsidDel="00000000" w:rsidR="00000000" w:rsidRPr="00000000">
        <w:rPr>
          <w:color w:val="222222"/>
          <w:sz w:val="20"/>
          <w:szCs w:val="20"/>
          <w:rtl w:val="0"/>
        </w:rPr>
        <w:t xml:space="preserve">. Brexit-related trade friction and ongoing supply chain disruptions are cited as the main drags. Likewise, the services PMI data came in at a 15-month low of 51.8</w:t>
      </w:r>
      <w:hyperlink r:id="rId11">
        <w:r w:rsidDel="00000000" w:rsidR="00000000" w:rsidRPr="00000000">
          <w:rPr>
            <w:color w:val="1155cc"/>
            <w:sz w:val="34"/>
            <w:szCs w:val="34"/>
            <w:u w:val="single"/>
            <w:vertAlign w:val="superscript"/>
            <w:rtl w:val="0"/>
          </w:rPr>
          <w:t xml:space="preserve">[4]</w:t>
        </w:r>
      </w:hyperlink>
      <w:r w:rsidDel="00000000" w:rsidR="00000000" w:rsidRPr="00000000">
        <w:rPr>
          <w:color w:val="222222"/>
          <w:sz w:val="20"/>
          <w:szCs w:val="20"/>
          <w:rtl w:val="0"/>
        </w:rPr>
        <w:t xml:space="preserve">.</w:t>
      </w:r>
    </w:p>
    <w:p w:rsidR="00000000" w:rsidDel="00000000" w:rsidP="00000000" w:rsidRDefault="00000000" w:rsidRPr="00000000" w14:paraId="00000023">
      <w:pPr>
        <w:shd w:fill="ffffff" w:val="clear"/>
        <w:rPr>
          <w:color w:val="222222"/>
          <w:sz w:val="20"/>
          <w:szCs w:val="20"/>
        </w:rPr>
      </w:pPr>
      <w:r w:rsidDel="00000000" w:rsidR="00000000" w:rsidRPr="00000000">
        <w:rPr>
          <w:color w:val="222222"/>
          <w:sz w:val="20"/>
          <w:szCs w:val="20"/>
          <w:rtl w:val="0"/>
        </w:rPr>
        <w:t xml:space="preserve"> </w:t>
      </w:r>
    </w:p>
    <w:p w:rsidR="00000000" w:rsidDel="00000000" w:rsidP="00000000" w:rsidRDefault="00000000" w:rsidRPr="00000000" w14:paraId="00000024">
      <w:pPr>
        <w:shd w:fill="ffffff" w:val="clear"/>
        <w:rPr>
          <w:b w:val="1"/>
          <w:color w:val="222222"/>
          <w:sz w:val="20"/>
          <w:szCs w:val="20"/>
        </w:rPr>
      </w:pPr>
      <w:r w:rsidDel="00000000" w:rsidR="00000000" w:rsidRPr="00000000">
        <w:rPr>
          <w:b w:val="1"/>
          <w:color w:val="222222"/>
          <w:sz w:val="20"/>
          <w:szCs w:val="20"/>
          <w:rtl w:val="0"/>
        </w:rPr>
        <w:t xml:space="preserve">LGT WM Portfolios</w:t>
      </w:r>
    </w:p>
    <w:p w:rsidR="00000000" w:rsidDel="00000000" w:rsidP="00000000" w:rsidRDefault="00000000" w:rsidRPr="00000000" w14:paraId="00000025">
      <w:pPr>
        <w:shd w:fill="ffffff" w:val="clear"/>
        <w:rPr>
          <w:color w:val="222222"/>
          <w:sz w:val="20"/>
          <w:szCs w:val="20"/>
        </w:rPr>
      </w:pPr>
      <w:r w:rsidDel="00000000" w:rsidR="00000000" w:rsidRPr="00000000">
        <w:rPr>
          <w:color w:val="222222"/>
          <w:sz w:val="20"/>
          <w:szCs w:val="20"/>
          <w:rtl w:val="0"/>
        </w:rPr>
        <w:t xml:space="preserve">Whilst a gloomy and rather pessimistic read, we have been aware of these factors for some time and have been proactive in the portfolios to counteract any short to medium term effects. Firstly, we have been moving more global with our portfolios over time but have also made some recent tweaks in response to the dampening outlook for the UK.</w:t>
      </w:r>
    </w:p>
    <w:p w:rsidR="00000000" w:rsidDel="00000000" w:rsidP="00000000" w:rsidRDefault="00000000" w:rsidRPr="00000000" w14:paraId="00000026">
      <w:pPr>
        <w:shd w:fill="ffffff" w:val="clear"/>
        <w:rPr>
          <w:color w:val="222222"/>
          <w:sz w:val="20"/>
          <w:szCs w:val="20"/>
        </w:rPr>
      </w:pPr>
      <w:r w:rsidDel="00000000" w:rsidR="00000000" w:rsidRPr="00000000">
        <w:rPr>
          <w:color w:val="222222"/>
          <w:sz w:val="20"/>
          <w:szCs w:val="20"/>
          <w:rtl w:val="0"/>
        </w:rPr>
        <w:t xml:space="preserve"> </w:t>
      </w:r>
    </w:p>
    <w:p w:rsidR="00000000" w:rsidDel="00000000" w:rsidP="00000000" w:rsidRDefault="00000000" w:rsidRPr="00000000" w14:paraId="00000027">
      <w:pPr>
        <w:shd w:fill="ffffff" w:val="clear"/>
        <w:rPr>
          <w:color w:val="222222"/>
          <w:sz w:val="20"/>
          <w:szCs w:val="20"/>
        </w:rPr>
      </w:pPr>
      <w:r w:rsidDel="00000000" w:rsidR="00000000" w:rsidRPr="00000000">
        <w:rPr>
          <w:color w:val="222222"/>
          <w:sz w:val="20"/>
          <w:szCs w:val="20"/>
          <w:rtl w:val="0"/>
        </w:rPr>
        <w:t xml:space="preserve">As noted, recession risks have risen, particularly in the UK, where consumer balance sheets are weaker than the US and consumer sentiment has weakened. UK fiscal policy has also moved to being more contractionary, both with higher taxes and less appetite to offer support for households. As such, we removed our exposure to the Jupiter UK Smaller Companies fund, a fund with outsized exposure to the UK domestic economy. This is a fund that we reduced exposure to at the beginning of April, but we have now fully closed out the position across all risk levels.</w:t>
      </w:r>
    </w:p>
    <w:p w:rsidR="00000000" w:rsidDel="00000000" w:rsidP="00000000" w:rsidRDefault="00000000" w:rsidRPr="00000000" w14:paraId="00000028">
      <w:pPr>
        <w:shd w:fill="ffffff" w:val="clear"/>
        <w:rPr>
          <w:color w:val="222222"/>
          <w:sz w:val="20"/>
          <w:szCs w:val="20"/>
        </w:rPr>
      </w:pPr>
      <w:r w:rsidDel="00000000" w:rsidR="00000000" w:rsidRPr="00000000">
        <w:rPr>
          <w:color w:val="222222"/>
          <w:sz w:val="20"/>
          <w:szCs w:val="20"/>
          <w:rtl w:val="0"/>
        </w:rPr>
        <w:t xml:space="preserve"> </w:t>
      </w:r>
    </w:p>
    <w:p w:rsidR="00000000" w:rsidDel="00000000" w:rsidP="00000000" w:rsidRDefault="00000000" w:rsidRPr="00000000" w14:paraId="00000029">
      <w:pPr>
        <w:shd w:fill="ffffff" w:val="clear"/>
        <w:rPr>
          <w:color w:val="222222"/>
          <w:sz w:val="20"/>
          <w:szCs w:val="20"/>
        </w:rPr>
      </w:pPr>
      <w:r w:rsidDel="00000000" w:rsidR="00000000" w:rsidRPr="00000000">
        <w:rPr>
          <w:color w:val="222222"/>
          <w:sz w:val="20"/>
          <w:szCs w:val="20"/>
          <w:rtl w:val="0"/>
        </w:rPr>
        <w:t xml:space="preserve">It is also worth mentioning the top UK-listed holdings in the LGT WM Balanced portfolio, all of which are large, global companies who are more sheltered from a slowing economy than those who derive their revenue solely on these shores, such as those held in the Jupiter UK Smaller Companies fund. They are also in line with our house view of holding high quality companies and if you align this with the fact they are of a more defensive nature, then we are comfortable with our positioning in the UK equity space. </w:t>
      </w:r>
    </w:p>
    <w:p w:rsidR="00000000" w:rsidDel="00000000" w:rsidP="00000000" w:rsidRDefault="00000000" w:rsidRPr="00000000" w14:paraId="0000002A">
      <w:pPr>
        <w:shd w:fill="ffffff" w:val="clear"/>
        <w:rPr>
          <w:color w:val="222222"/>
          <w:sz w:val="20"/>
          <w:szCs w:val="20"/>
        </w:rPr>
      </w:pPr>
      <w:r w:rsidDel="00000000" w:rsidR="00000000" w:rsidRPr="00000000">
        <w:rPr>
          <w:color w:val="222222"/>
          <w:sz w:val="20"/>
          <w:szCs w:val="20"/>
          <w:rtl w:val="0"/>
        </w:rPr>
        <w:t xml:space="preserve"> </w:t>
      </w:r>
    </w:p>
    <w:tbl>
      <w:tblPr>
        <w:tblStyle w:val="Table1"/>
        <w:tblW w:w="85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255"/>
        <w:gridCol w:w="215"/>
        <w:gridCol w:w="1980"/>
        <w:gridCol w:w="215"/>
        <w:gridCol w:w="2640"/>
        <w:gridCol w:w="215"/>
        <w:tblGridChange w:id="0">
          <w:tblGrid>
            <w:gridCol w:w="3255"/>
            <w:gridCol w:w="215"/>
            <w:gridCol w:w="1980"/>
            <w:gridCol w:w="215"/>
            <w:gridCol w:w="2640"/>
            <w:gridCol w:w="215"/>
          </w:tblGrid>
        </w:tblGridChange>
      </w:tblGrid>
      <w:tr>
        <w:trPr>
          <w:cantSplit w:val="0"/>
          <w:trHeight w:val="45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rPr>
                <w:rFonts w:ascii="Roboto" w:cs="Roboto" w:eastAsia="Roboto" w:hAnsi="Roboto"/>
                <w:b w:val="1"/>
                <w:color w:val="222222"/>
                <w:sz w:val="20"/>
                <w:szCs w:val="20"/>
              </w:rPr>
            </w:pPr>
            <w:r w:rsidDel="00000000" w:rsidR="00000000" w:rsidRPr="00000000">
              <w:rPr>
                <w:rFonts w:ascii="Roboto" w:cs="Roboto" w:eastAsia="Roboto" w:hAnsi="Roboto"/>
                <w:b w:val="1"/>
                <w:color w:val="222222"/>
                <w:sz w:val="20"/>
                <w:szCs w:val="20"/>
                <w:rtl w:val="0"/>
              </w:rPr>
              <w:t xml:space="preserve">Company</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C">
            <w:pPr>
              <w:rPr>
                <w:color w:val="222222"/>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rPr>
                <w:rFonts w:ascii="Roboto" w:cs="Roboto" w:eastAsia="Roboto" w:hAnsi="Roboto"/>
                <w:b w:val="1"/>
                <w:color w:val="222222"/>
                <w:sz w:val="20"/>
                <w:szCs w:val="20"/>
              </w:rPr>
            </w:pPr>
            <w:r w:rsidDel="00000000" w:rsidR="00000000" w:rsidRPr="00000000">
              <w:rPr>
                <w:rFonts w:ascii="Roboto" w:cs="Roboto" w:eastAsia="Roboto" w:hAnsi="Roboto"/>
                <w:b w:val="1"/>
                <w:color w:val="222222"/>
                <w:sz w:val="20"/>
                <w:szCs w:val="20"/>
                <w:rtl w:val="0"/>
              </w:rPr>
              <w:t xml:space="preserve">Holding Size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E">
            <w:pPr>
              <w:rPr>
                <w:color w:val="222222"/>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rPr>
                <w:rFonts w:ascii="Roboto" w:cs="Roboto" w:eastAsia="Roboto" w:hAnsi="Roboto"/>
                <w:b w:val="1"/>
                <w:color w:val="222222"/>
                <w:sz w:val="20"/>
                <w:szCs w:val="20"/>
              </w:rPr>
            </w:pPr>
            <w:r w:rsidDel="00000000" w:rsidR="00000000" w:rsidRPr="00000000">
              <w:rPr>
                <w:rFonts w:ascii="Roboto" w:cs="Roboto" w:eastAsia="Roboto" w:hAnsi="Roboto"/>
                <w:b w:val="1"/>
                <w:color w:val="222222"/>
                <w:sz w:val="20"/>
                <w:szCs w:val="20"/>
                <w:rtl w:val="0"/>
              </w:rPr>
              <w:t xml:space="preserve">Sector</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0">
            <w:pPr>
              <w:rPr>
                <w:color w:val="222222"/>
              </w:rPr>
            </w:pPr>
            <w:r w:rsidDel="00000000" w:rsidR="00000000" w:rsidRPr="00000000">
              <w:rPr>
                <w:rtl w:val="0"/>
              </w:rPr>
            </w:r>
          </w:p>
        </w:tc>
      </w:tr>
      <w:tr>
        <w:trPr>
          <w:cantSplit w:val="0"/>
          <w:trHeight w:val="4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rPr>
                <w:rFonts w:ascii="Roboto" w:cs="Roboto" w:eastAsia="Roboto" w:hAnsi="Roboto"/>
                <w:color w:val="222222"/>
                <w:sz w:val="20"/>
                <w:szCs w:val="20"/>
              </w:rPr>
            </w:pPr>
            <w:r w:rsidDel="00000000" w:rsidR="00000000" w:rsidRPr="00000000">
              <w:rPr>
                <w:rFonts w:ascii="Roboto" w:cs="Roboto" w:eastAsia="Roboto" w:hAnsi="Roboto"/>
                <w:color w:val="222222"/>
                <w:sz w:val="20"/>
                <w:szCs w:val="20"/>
                <w:rtl w:val="0"/>
              </w:rPr>
              <w:t xml:space="preserve">RELX</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2">
            <w:pPr>
              <w:rPr>
                <w:color w:val="2222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rPr>
                <w:rFonts w:ascii="Roboto" w:cs="Roboto" w:eastAsia="Roboto" w:hAnsi="Roboto"/>
                <w:color w:val="222222"/>
                <w:sz w:val="20"/>
                <w:szCs w:val="20"/>
              </w:rPr>
            </w:pPr>
            <w:r w:rsidDel="00000000" w:rsidR="00000000" w:rsidRPr="00000000">
              <w:rPr>
                <w:rFonts w:ascii="Roboto" w:cs="Roboto" w:eastAsia="Roboto" w:hAnsi="Roboto"/>
                <w:color w:val="222222"/>
                <w:sz w:val="20"/>
                <w:szCs w:val="20"/>
                <w:rtl w:val="0"/>
              </w:rPr>
              <w:t xml:space="preserve">1.35</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4">
            <w:pPr>
              <w:rPr>
                <w:color w:val="2222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rPr>
                <w:rFonts w:ascii="Roboto" w:cs="Roboto" w:eastAsia="Roboto" w:hAnsi="Roboto"/>
                <w:color w:val="222222"/>
                <w:sz w:val="20"/>
                <w:szCs w:val="20"/>
              </w:rPr>
            </w:pPr>
            <w:r w:rsidDel="00000000" w:rsidR="00000000" w:rsidRPr="00000000">
              <w:rPr>
                <w:rFonts w:ascii="Roboto" w:cs="Roboto" w:eastAsia="Roboto" w:hAnsi="Roboto"/>
                <w:color w:val="222222"/>
                <w:sz w:val="20"/>
                <w:szCs w:val="20"/>
                <w:rtl w:val="0"/>
              </w:rPr>
              <w:t xml:space="preserve">Communication Services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6">
            <w:pPr>
              <w:rPr>
                <w:color w:val="222222"/>
              </w:rPr>
            </w:pPr>
            <w:r w:rsidDel="00000000" w:rsidR="00000000" w:rsidRPr="00000000">
              <w:rPr>
                <w:rtl w:val="0"/>
              </w:rPr>
            </w:r>
          </w:p>
        </w:tc>
      </w:tr>
      <w:tr>
        <w:trPr>
          <w:cantSplit w:val="0"/>
          <w:trHeight w:val="4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rPr>
                <w:rFonts w:ascii="Roboto" w:cs="Roboto" w:eastAsia="Roboto" w:hAnsi="Roboto"/>
                <w:color w:val="222222"/>
                <w:sz w:val="20"/>
                <w:szCs w:val="20"/>
              </w:rPr>
            </w:pPr>
            <w:r w:rsidDel="00000000" w:rsidR="00000000" w:rsidRPr="00000000">
              <w:rPr>
                <w:rFonts w:ascii="Roboto" w:cs="Roboto" w:eastAsia="Roboto" w:hAnsi="Roboto"/>
                <w:color w:val="222222"/>
                <w:sz w:val="20"/>
                <w:szCs w:val="20"/>
                <w:rtl w:val="0"/>
              </w:rPr>
              <w:t xml:space="preserve">Unilever</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8">
            <w:pPr>
              <w:rPr>
                <w:color w:val="2222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rPr>
                <w:rFonts w:ascii="Roboto" w:cs="Roboto" w:eastAsia="Roboto" w:hAnsi="Roboto"/>
                <w:color w:val="222222"/>
                <w:sz w:val="20"/>
                <w:szCs w:val="20"/>
              </w:rPr>
            </w:pPr>
            <w:r w:rsidDel="00000000" w:rsidR="00000000" w:rsidRPr="00000000">
              <w:rPr>
                <w:rFonts w:ascii="Roboto" w:cs="Roboto" w:eastAsia="Roboto" w:hAnsi="Roboto"/>
                <w:color w:val="222222"/>
                <w:sz w:val="20"/>
                <w:szCs w:val="20"/>
                <w:rtl w:val="0"/>
              </w:rPr>
              <w:t xml:space="preserve">1.09</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A">
            <w:pPr>
              <w:rPr>
                <w:color w:val="2222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rPr>
                <w:rFonts w:ascii="Roboto" w:cs="Roboto" w:eastAsia="Roboto" w:hAnsi="Roboto"/>
                <w:color w:val="222222"/>
                <w:sz w:val="20"/>
                <w:szCs w:val="20"/>
              </w:rPr>
            </w:pPr>
            <w:r w:rsidDel="00000000" w:rsidR="00000000" w:rsidRPr="00000000">
              <w:rPr>
                <w:rFonts w:ascii="Roboto" w:cs="Roboto" w:eastAsia="Roboto" w:hAnsi="Roboto"/>
                <w:color w:val="222222"/>
                <w:sz w:val="20"/>
                <w:szCs w:val="20"/>
                <w:rtl w:val="0"/>
              </w:rPr>
              <w:t xml:space="preserve">Consumer Defensive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C">
            <w:pPr>
              <w:rPr>
                <w:color w:val="222222"/>
              </w:rPr>
            </w:pPr>
            <w:r w:rsidDel="00000000" w:rsidR="00000000" w:rsidRPr="00000000">
              <w:rPr>
                <w:rtl w:val="0"/>
              </w:rPr>
            </w:r>
          </w:p>
        </w:tc>
      </w:tr>
      <w:tr>
        <w:trPr>
          <w:cantSplit w:val="0"/>
          <w:trHeight w:val="4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rPr>
                <w:rFonts w:ascii="Roboto" w:cs="Roboto" w:eastAsia="Roboto" w:hAnsi="Roboto"/>
                <w:color w:val="222222"/>
                <w:sz w:val="20"/>
                <w:szCs w:val="20"/>
              </w:rPr>
            </w:pPr>
            <w:r w:rsidDel="00000000" w:rsidR="00000000" w:rsidRPr="00000000">
              <w:rPr>
                <w:rFonts w:ascii="Roboto" w:cs="Roboto" w:eastAsia="Roboto" w:hAnsi="Roboto"/>
                <w:color w:val="222222"/>
                <w:sz w:val="20"/>
                <w:szCs w:val="20"/>
                <w:rtl w:val="0"/>
              </w:rPr>
              <w:t xml:space="preserve">Diageo</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E">
            <w:pPr>
              <w:rPr>
                <w:color w:val="2222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rPr>
                <w:rFonts w:ascii="Roboto" w:cs="Roboto" w:eastAsia="Roboto" w:hAnsi="Roboto"/>
                <w:color w:val="222222"/>
                <w:sz w:val="20"/>
                <w:szCs w:val="20"/>
              </w:rPr>
            </w:pPr>
            <w:r w:rsidDel="00000000" w:rsidR="00000000" w:rsidRPr="00000000">
              <w:rPr>
                <w:rFonts w:ascii="Roboto" w:cs="Roboto" w:eastAsia="Roboto" w:hAnsi="Roboto"/>
                <w:color w:val="222222"/>
                <w:sz w:val="20"/>
                <w:szCs w:val="20"/>
                <w:rtl w:val="0"/>
              </w:rPr>
              <w:t xml:space="preserve">0.74</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0">
            <w:pPr>
              <w:rPr>
                <w:color w:val="2222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rPr>
                <w:rFonts w:ascii="Roboto" w:cs="Roboto" w:eastAsia="Roboto" w:hAnsi="Roboto"/>
                <w:color w:val="222222"/>
                <w:sz w:val="20"/>
                <w:szCs w:val="20"/>
              </w:rPr>
            </w:pPr>
            <w:r w:rsidDel="00000000" w:rsidR="00000000" w:rsidRPr="00000000">
              <w:rPr>
                <w:rFonts w:ascii="Roboto" w:cs="Roboto" w:eastAsia="Roboto" w:hAnsi="Roboto"/>
                <w:color w:val="222222"/>
                <w:sz w:val="20"/>
                <w:szCs w:val="20"/>
                <w:rtl w:val="0"/>
              </w:rPr>
              <w:t xml:space="preserve">Consumer Defensive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2">
            <w:pPr>
              <w:rPr>
                <w:color w:val="222222"/>
              </w:rPr>
            </w:pPr>
            <w:r w:rsidDel="00000000" w:rsidR="00000000" w:rsidRPr="00000000">
              <w:rPr>
                <w:rtl w:val="0"/>
              </w:rPr>
            </w:r>
          </w:p>
        </w:tc>
      </w:tr>
      <w:tr>
        <w:trPr>
          <w:cantSplit w:val="0"/>
          <w:trHeight w:val="4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rPr>
                <w:rFonts w:ascii="Roboto" w:cs="Roboto" w:eastAsia="Roboto" w:hAnsi="Roboto"/>
                <w:color w:val="222222"/>
                <w:sz w:val="20"/>
                <w:szCs w:val="20"/>
              </w:rPr>
            </w:pPr>
            <w:r w:rsidDel="00000000" w:rsidR="00000000" w:rsidRPr="00000000">
              <w:rPr>
                <w:rFonts w:ascii="Roboto" w:cs="Roboto" w:eastAsia="Roboto" w:hAnsi="Roboto"/>
                <w:color w:val="222222"/>
                <w:sz w:val="20"/>
                <w:szCs w:val="20"/>
                <w:rtl w:val="0"/>
              </w:rPr>
              <w:t xml:space="preserve">AstraZeneca</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4">
            <w:pPr>
              <w:rPr>
                <w:color w:val="2222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rPr>
                <w:rFonts w:ascii="Roboto" w:cs="Roboto" w:eastAsia="Roboto" w:hAnsi="Roboto"/>
                <w:color w:val="222222"/>
                <w:sz w:val="20"/>
                <w:szCs w:val="20"/>
              </w:rPr>
            </w:pPr>
            <w:r w:rsidDel="00000000" w:rsidR="00000000" w:rsidRPr="00000000">
              <w:rPr>
                <w:rFonts w:ascii="Roboto" w:cs="Roboto" w:eastAsia="Roboto" w:hAnsi="Roboto"/>
                <w:color w:val="222222"/>
                <w:sz w:val="20"/>
                <w:szCs w:val="20"/>
                <w:rtl w:val="0"/>
              </w:rPr>
              <w:t xml:space="preserve">0.51</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6">
            <w:pPr>
              <w:rPr>
                <w:color w:val="2222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rPr>
                <w:rFonts w:ascii="Roboto" w:cs="Roboto" w:eastAsia="Roboto" w:hAnsi="Roboto"/>
                <w:color w:val="222222"/>
                <w:sz w:val="20"/>
                <w:szCs w:val="20"/>
              </w:rPr>
            </w:pPr>
            <w:r w:rsidDel="00000000" w:rsidR="00000000" w:rsidRPr="00000000">
              <w:rPr>
                <w:rFonts w:ascii="Roboto" w:cs="Roboto" w:eastAsia="Roboto" w:hAnsi="Roboto"/>
                <w:color w:val="222222"/>
                <w:sz w:val="20"/>
                <w:szCs w:val="20"/>
                <w:rtl w:val="0"/>
              </w:rPr>
              <w:t xml:space="preserve">Healthcare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8">
            <w:pPr>
              <w:rPr>
                <w:color w:val="222222"/>
              </w:rPr>
            </w:pPr>
            <w:r w:rsidDel="00000000" w:rsidR="00000000" w:rsidRPr="00000000">
              <w:rPr>
                <w:rtl w:val="0"/>
              </w:rPr>
            </w:r>
          </w:p>
        </w:tc>
      </w:tr>
      <w:tr>
        <w:trPr>
          <w:cantSplit w:val="0"/>
          <w:trHeight w:val="4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rPr>
                <w:rFonts w:ascii="Roboto" w:cs="Roboto" w:eastAsia="Roboto" w:hAnsi="Roboto"/>
                <w:color w:val="222222"/>
                <w:sz w:val="20"/>
                <w:szCs w:val="20"/>
              </w:rPr>
            </w:pPr>
            <w:r w:rsidDel="00000000" w:rsidR="00000000" w:rsidRPr="00000000">
              <w:rPr>
                <w:rFonts w:ascii="Roboto" w:cs="Roboto" w:eastAsia="Roboto" w:hAnsi="Roboto"/>
                <w:color w:val="222222"/>
                <w:sz w:val="20"/>
                <w:szCs w:val="20"/>
                <w:rtl w:val="0"/>
              </w:rPr>
              <w:t xml:space="preserve">GlaxoSmithKline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A">
            <w:pPr>
              <w:rPr>
                <w:color w:val="2222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rPr>
                <w:rFonts w:ascii="Roboto" w:cs="Roboto" w:eastAsia="Roboto" w:hAnsi="Roboto"/>
                <w:color w:val="222222"/>
                <w:sz w:val="20"/>
                <w:szCs w:val="20"/>
              </w:rPr>
            </w:pPr>
            <w:r w:rsidDel="00000000" w:rsidR="00000000" w:rsidRPr="00000000">
              <w:rPr>
                <w:rFonts w:ascii="Roboto" w:cs="Roboto" w:eastAsia="Roboto" w:hAnsi="Roboto"/>
                <w:color w:val="222222"/>
                <w:sz w:val="20"/>
                <w:szCs w:val="20"/>
                <w:rtl w:val="0"/>
              </w:rPr>
              <w:t xml:space="preserve">0.49</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C">
            <w:pPr>
              <w:rPr>
                <w:color w:val="2222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rPr>
                <w:rFonts w:ascii="Roboto" w:cs="Roboto" w:eastAsia="Roboto" w:hAnsi="Roboto"/>
                <w:color w:val="222222"/>
                <w:sz w:val="20"/>
                <w:szCs w:val="20"/>
              </w:rPr>
            </w:pPr>
            <w:r w:rsidDel="00000000" w:rsidR="00000000" w:rsidRPr="00000000">
              <w:rPr>
                <w:rFonts w:ascii="Roboto" w:cs="Roboto" w:eastAsia="Roboto" w:hAnsi="Roboto"/>
                <w:color w:val="222222"/>
                <w:sz w:val="20"/>
                <w:szCs w:val="20"/>
                <w:rtl w:val="0"/>
              </w:rPr>
              <w:t xml:space="preserve">Healthcare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E">
            <w:pPr>
              <w:rPr>
                <w:color w:val="222222"/>
              </w:rPr>
            </w:pPr>
            <w:r w:rsidDel="00000000" w:rsidR="00000000" w:rsidRPr="00000000">
              <w:rPr>
                <w:rtl w:val="0"/>
              </w:rPr>
            </w:r>
          </w:p>
        </w:tc>
      </w:tr>
      <w:tr>
        <w:trPr>
          <w:cantSplit w:val="0"/>
          <w:trHeight w:val="4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rPr>
                <w:rFonts w:ascii="Roboto" w:cs="Roboto" w:eastAsia="Roboto" w:hAnsi="Roboto"/>
                <w:color w:val="222222"/>
                <w:sz w:val="20"/>
                <w:szCs w:val="20"/>
              </w:rPr>
            </w:pPr>
            <w:r w:rsidDel="00000000" w:rsidR="00000000" w:rsidRPr="00000000">
              <w:rPr>
                <w:rFonts w:ascii="Roboto" w:cs="Roboto" w:eastAsia="Roboto" w:hAnsi="Roboto"/>
                <w:color w:val="222222"/>
                <w:sz w:val="20"/>
                <w:szCs w:val="20"/>
                <w:rtl w:val="0"/>
              </w:rPr>
              <w:t xml:space="preserve">Reckitt Benckiser Group</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0">
            <w:pPr>
              <w:rPr>
                <w:color w:val="2222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rPr>
                <w:rFonts w:ascii="Roboto" w:cs="Roboto" w:eastAsia="Roboto" w:hAnsi="Roboto"/>
                <w:color w:val="222222"/>
                <w:sz w:val="20"/>
                <w:szCs w:val="20"/>
              </w:rPr>
            </w:pPr>
            <w:r w:rsidDel="00000000" w:rsidR="00000000" w:rsidRPr="00000000">
              <w:rPr>
                <w:rFonts w:ascii="Roboto" w:cs="Roboto" w:eastAsia="Roboto" w:hAnsi="Roboto"/>
                <w:color w:val="222222"/>
                <w:sz w:val="20"/>
                <w:szCs w:val="20"/>
                <w:rtl w:val="0"/>
              </w:rPr>
              <w:t xml:space="preserve">0.43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2">
            <w:pPr>
              <w:rPr>
                <w:color w:val="2222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rPr>
                <w:rFonts w:ascii="Roboto" w:cs="Roboto" w:eastAsia="Roboto" w:hAnsi="Roboto"/>
                <w:color w:val="222222"/>
                <w:sz w:val="20"/>
                <w:szCs w:val="20"/>
              </w:rPr>
            </w:pPr>
            <w:r w:rsidDel="00000000" w:rsidR="00000000" w:rsidRPr="00000000">
              <w:rPr>
                <w:rFonts w:ascii="Roboto" w:cs="Roboto" w:eastAsia="Roboto" w:hAnsi="Roboto"/>
                <w:color w:val="222222"/>
                <w:sz w:val="20"/>
                <w:szCs w:val="20"/>
                <w:rtl w:val="0"/>
              </w:rPr>
              <w:t xml:space="preserve">Consumer Defensive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4">
            <w:pPr>
              <w:rPr>
                <w:color w:val="222222"/>
              </w:rPr>
            </w:pPr>
            <w:r w:rsidDel="00000000" w:rsidR="00000000" w:rsidRPr="00000000">
              <w:rPr>
                <w:rtl w:val="0"/>
              </w:rPr>
            </w:r>
          </w:p>
        </w:tc>
      </w:tr>
      <w:tr>
        <w:trPr>
          <w:cantSplit w:val="0"/>
          <w:trHeight w:val="4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rPr>
                <w:rFonts w:ascii="Roboto" w:cs="Roboto" w:eastAsia="Roboto" w:hAnsi="Roboto"/>
                <w:color w:val="222222"/>
                <w:sz w:val="20"/>
                <w:szCs w:val="20"/>
              </w:rPr>
            </w:pPr>
            <w:r w:rsidDel="00000000" w:rsidR="00000000" w:rsidRPr="00000000">
              <w:rPr>
                <w:rFonts w:ascii="Roboto" w:cs="Roboto" w:eastAsia="Roboto" w:hAnsi="Roboto"/>
                <w:color w:val="222222"/>
                <w:sz w:val="20"/>
                <w:szCs w:val="20"/>
                <w:rtl w:val="0"/>
              </w:rPr>
              <w:t xml:space="preserve">Sage Group</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6">
            <w:pPr>
              <w:rPr>
                <w:color w:val="2222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rPr>
                <w:rFonts w:ascii="Roboto" w:cs="Roboto" w:eastAsia="Roboto" w:hAnsi="Roboto"/>
                <w:color w:val="222222"/>
                <w:sz w:val="20"/>
                <w:szCs w:val="20"/>
              </w:rPr>
            </w:pPr>
            <w:r w:rsidDel="00000000" w:rsidR="00000000" w:rsidRPr="00000000">
              <w:rPr>
                <w:rFonts w:ascii="Roboto" w:cs="Roboto" w:eastAsia="Roboto" w:hAnsi="Roboto"/>
                <w:color w:val="222222"/>
                <w:sz w:val="20"/>
                <w:szCs w:val="20"/>
                <w:rtl w:val="0"/>
              </w:rPr>
              <w:t xml:space="preserve">0.42</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8">
            <w:pPr>
              <w:rPr>
                <w:color w:val="2222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rPr>
                <w:rFonts w:ascii="Roboto" w:cs="Roboto" w:eastAsia="Roboto" w:hAnsi="Roboto"/>
                <w:color w:val="222222"/>
                <w:sz w:val="20"/>
                <w:szCs w:val="20"/>
              </w:rPr>
            </w:pPr>
            <w:r w:rsidDel="00000000" w:rsidR="00000000" w:rsidRPr="00000000">
              <w:rPr>
                <w:rFonts w:ascii="Roboto" w:cs="Roboto" w:eastAsia="Roboto" w:hAnsi="Roboto"/>
                <w:color w:val="222222"/>
                <w:sz w:val="20"/>
                <w:szCs w:val="20"/>
                <w:rtl w:val="0"/>
              </w:rPr>
              <w:t xml:space="preserve">Technology</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A">
            <w:pPr>
              <w:rPr>
                <w:color w:val="222222"/>
              </w:rPr>
            </w:pPr>
            <w:r w:rsidDel="00000000" w:rsidR="00000000" w:rsidRPr="00000000">
              <w:rPr>
                <w:rtl w:val="0"/>
              </w:rPr>
            </w:r>
          </w:p>
        </w:tc>
      </w:tr>
      <w:tr>
        <w:trPr>
          <w:cantSplit w:val="0"/>
          <w:trHeight w:val="4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rPr>
                <w:rFonts w:ascii="Roboto" w:cs="Roboto" w:eastAsia="Roboto" w:hAnsi="Roboto"/>
                <w:color w:val="222222"/>
                <w:sz w:val="20"/>
                <w:szCs w:val="20"/>
              </w:rPr>
            </w:pPr>
            <w:r w:rsidDel="00000000" w:rsidR="00000000" w:rsidRPr="00000000">
              <w:rPr>
                <w:rFonts w:ascii="Roboto" w:cs="Roboto" w:eastAsia="Roboto" w:hAnsi="Roboto"/>
                <w:color w:val="222222"/>
                <w:sz w:val="20"/>
                <w:szCs w:val="20"/>
                <w:rtl w:val="0"/>
              </w:rPr>
              <w:t xml:space="preserve">London Stock Exchange Group</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C">
            <w:pPr>
              <w:rPr>
                <w:color w:val="2222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rPr>
                <w:rFonts w:ascii="Roboto" w:cs="Roboto" w:eastAsia="Roboto" w:hAnsi="Roboto"/>
                <w:color w:val="222222"/>
                <w:sz w:val="20"/>
                <w:szCs w:val="20"/>
              </w:rPr>
            </w:pPr>
            <w:r w:rsidDel="00000000" w:rsidR="00000000" w:rsidRPr="00000000">
              <w:rPr>
                <w:rFonts w:ascii="Roboto" w:cs="Roboto" w:eastAsia="Roboto" w:hAnsi="Roboto"/>
                <w:color w:val="222222"/>
                <w:sz w:val="20"/>
                <w:szCs w:val="20"/>
                <w:rtl w:val="0"/>
              </w:rPr>
              <w:t xml:space="preserve">0.39</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E">
            <w:pPr>
              <w:rPr>
                <w:color w:val="2222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rPr>
                <w:rFonts w:ascii="Roboto" w:cs="Roboto" w:eastAsia="Roboto" w:hAnsi="Roboto"/>
                <w:color w:val="222222"/>
                <w:sz w:val="20"/>
                <w:szCs w:val="20"/>
              </w:rPr>
            </w:pPr>
            <w:r w:rsidDel="00000000" w:rsidR="00000000" w:rsidRPr="00000000">
              <w:rPr>
                <w:rFonts w:ascii="Roboto" w:cs="Roboto" w:eastAsia="Roboto" w:hAnsi="Roboto"/>
                <w:color w:val="222222"/>
                <w:sz w:val="20"/>
                <w:szCs w:val="20"/>
                <w:rtl w:val="0"/>
              </w:rPr>
              <w:t xml:space="preserve">Financial Services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0">
            <w:pPr>
              <w:rPr>
                <w:color w:val="222222"/>
              </w:rPr>
            </w:pPr>
            <w:r w:rsidDel="00000000" w:rsidR="00000000" w:rsidRPr="00000000">
              <w:rPr>
                <w:rtl w:val="0"/>
              </w:rPr>
            </w:r>
          </w:p>
        </w:tc>
      </w:tr>
      <w:tr>
        <w:trPr>
          <w:cantSplit w:val="0"/>
          <w:trHeight w:val="4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rPr>
                <w:rFonts w:ascii="Roboto" w:cs="Roboto" w:eastAsia="Roboto" w:hAnsi="Roboto"/>
                <w:color w:val="222222"/>
                <w:sz w:val="20"/>
                <w:szCs w:val="20"/>
              </w:rPr>
            </w:pPr>
            <w:r w:rsidDel="00000000" w:rsidR="00000000" w:rsidRPr="00000000">
              <w:rPr>
                <w:rFonts w:ascii="Roboto" w:cs="Roboto" w:eastAsia="Roboto" w:hAnsi="Roboto"/>
                <w:color w:val="222222"/>
                <w:sz w:val="20"/>
                <w:szCs w:val="20"/>
                <w:rtl w:val="0"/>
              </w:rPr>
              <w:t xml:space="preserve">Experian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2">
            <w:pPr>
              <w:rPr>
                <w:color w:val="2222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rPr>
                <w:rFonts w:ascii="Roboto" w:cs="Roboto" w:eastAsia="Roboto" w:hAnsi="Roboto"/>
                <w:color w:val="222222"/>
                <w:sz w:val="20"/>
                <w:szCs w:val="20"/>
              </w:rPr>
            </w:pPr>
            <w:r w:rsidDel="00000000" w:rsidR="00000000" w:rsidRPr="00000000">
              <w:rPr>
                <w:rFonts w:ascii="Roboto" w:cs="Roboto" w:eastAsia="Roboto" w:hAnsi="Roboto"/>
                <w:color w:val="222222"/>
                <w:sz w:val="20"/>
                <w:szCs w:val="20"/>
                <w:rtl w:val="0"/>
              </w:rPr>
              <w:t xml:space="preserve">0.35</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4">
            <w:pPr>
              <w:rPr>
                <w:color w:val="2222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rPr>
                <w:rFonts w:ascii="Roboto" w:cs="Roboto" w:eastAsia="Roboto" w:hAnsi="Roboto"/>
                <w:color w:val="222222"/>
                <w:sz w:val="20"/>
                <w:szCs w:val="20"/>
              </w:rPr>
            </w:pPr>
            <w:r w:rsidDel="00000000" w:rsidR="00000000" w:rsidRPr="00000000">
              <w:rPr>
                <w:rFonts w:ascii="Roboto" w:cs="Roboto" w:eastAsia="Roboto" w:hAnsi="Roboto"/>
                <w:color w:val="222222"/>
                <w:sz w:val="20"/>
                <w:szCs w:val="20"/>
                <w:rtl w:val="0"/>
              </w:rPr>
              <w:t xml:space="preserve">Industrials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6">
            <w:pPr>
              <w:rPr>
                <w:color w:val="222222"/>
              </w:rPr>
            </w:pPr>
            <w:r w:rsidDel="00000000" w:rsidR="00000000" w:rsidRPr="00000000">
              <w:rPr>
                <w:rtl w:val="0"/>
              </w:rPr>
            </w:r>
          </w:p>
        </w:tc>
      </w:tr>
      <w:tr>
        <w:trPr>
          <w:cantSplit w:val="0"/>
          <w:trHeight w:val="4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rPr>
                <w:rFonts w:ascii="Roboto" w:cs="Roboto" w:eastAsia="Roboto" w:hAnsi="Roboto"/>
                <w:color w:val="222222"/>
                <w:sz w:val="20"/>
                <w:szCs w:val="20"/>
              </w:rPr>
            </w:pPr>
            <w:r w:rsidDel="00000000" w:rsidR="00000000" w:rsidRPr="00000000">
              <w:rPr>
                <w:rFonts w:ascii="Roboto" w:cs="Roboto" w:eastAsia="Roboto" w:hAnsi="Roboto"/>
                <w:color w:val="222222"/>
                <w:sz w:val="20"/>
                <w:szCs w:val="20"/>
                <w:rtl w:val="0"/>
              </w:rPr>
              <w:t xml:space="preserve">Burberry Group</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8">
            <w:pPr>
              <w:rPr>
                <w:color w:val="2222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rPr>
                <w:rFonts w:ascii="Roboto" w:cs="Roboto" w:eastAsia="Roboto" w:hAnsi="Roboto"/>
                <w:color w:val="222222"/>
                <w:sz w:val="20"/>
                <w:szCs w:val="20"/>
              </w:rPr>
            </w:pPr>
            <w:r w:rsidDel="00000000" w:rsidR="00000000" w:rsidRPr="00000000">
              <w:rPr>
                <w:rFonts w:ascii="Roboto" w:cs="Roboto" w:eastAsia="Roboto" w:hAnsi="Roboto"/>
                <w:color w:val="222222"/>
                <w:sz w:val="20"/>
                <w:szCs w:val="20"/>
                <w:rtl w:val="0"/>
              </w:rPr>
              <w:t xml:space="preserve">0.32</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A">
            <w:pPr>
              <w:rPr>
                <w:color w:val="2222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rPr>
                <w:rFonts w:ascii="Roboto" w:cs="Roboto" w:eastAsia="Roboto" w:hAnsi="Roboto"/>
                <w:color w:val="222222"/>
                <w:sz w:val="20"/>
                <w:szCs w:val="20"/>
              </w:rPr>
            </w:pPr>
            <w:r w:rsidDel="00000000" w:rsidR="00000000" w:rsidRPr="00000000">
              <w:rPr>
                <w:rFonts w:ascii="Roboto" w:cs="Roboto" w:eastAsia="Roboto" w:hAnsi="Roboto"/>
                <w:color w:val="222222"/>
                <w:sz w:val="20"/>
                <w:szCs w:val="20"/>
                <w:rtl w:val="0"/>
              </w:rPr>
              <w:t xml:space="preserve">Consumer Cyclical</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C">
            <w:pPr>
              <w:rPr>
                <w:color w:val="222222"/>
              </w:rPr>
            </w:pPr>
            <w:r w:rsidDel="00000000" w:rsidR="00000000" w:rsidRPr="00000000">
              <w:rPr>
                <w:rtl w:val="0"/>
              </w:rPr>
            </w:r>
          </w:p>
        </w:tc>
      </w:tr>
    </w:tbl>
    <w:p w:rsidR="00000000" w:rsidDel="00000000" w:rsidP="00000000" w:rsidRDefault="00000000" w:rsidRPr="00000000" w14:paraId="0000006D">
      <w:pPr>
        <w:shd w:fill="ffffff" w:val="clear"/>
        <w:rPr>
          <w:color w:val="222222"/>
          <w:sz w:val="20"/>
          <w:szCs w:val="20"/>
        </w:rPr>
      </w:pPr>
      <w:r w:rsidDel="00000000" w:rsidR="00000000" w:rsidRPr="00000000">
        <w:rPr>
          <w:color w:val="222222"/>
          <w:sz w:val="20"/>
          <w:szCs w:val="20"/>
          <w:rtl w:val="0"/>
        </w:rPr>
        <w:t xml:space="preserve"> </w:t>
      </w:r>
    </w:p>
    <w:p w:rsidR="00000000" w:rsidDel="00000000" w:rsidP="00000000" w:rsidRDefault="00000000" w:rsidRPr="00000000" w14:paraId="0000006E">
      <w:pPr>
        <w:shd w:fill="ffffff" w:val="clear"/>
        <w:rPr>
          <w:color w:val="222222"/>
          <w:sz w:val="20"/>
          <w:szCs w:val="20"/>
        </w:rPr>
      </w:pPr>
      <w:r w:rsidDel="00000000" w:rsidR="00000000" w:rsidRPr="00000000">
        <w:rPr>
          <w:color w:val="222222"/>
          <w:sz w:val="20"/>
          <w:szCs w:val="20"/>
          <w:rtl w:val="0"/>
        </w:rPr>
        <w:t xml:space="preserve">Source: Morningstar</w:t>
      </w:r>
    </w:p>
    <w:p w:rsidR="00000000" w:rsidDel="00000000" w:rsidP="00000000" w:rsidRDefault="00000000" w:rsidRPr="00000000" w14:paraId="0000006F">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70">
      <w:pPr>
        <w:shd w:fill="ffffff" w:val="clear"/>
        <w:rPr>
          <w:b w:val="1"/>
          <w:color w:val="bfbfbf"/>
          <w:sz w:val="20"/>
          <w:szCs w:val="20"/>
        </w:rPr>
      </w:pPr>
      <w:r w:rsidDel="00000000" w:rsidR="00000000" w:rsidRPr="00000000">
        <w:rPr>
          <w:b w:val="1"/>
          <w:color w:val="bfbfbf"/>
          <w:sz w:val="20"/>
          <w:szCs w:val="20"/>
          <w:rtl w:val="0"/>
        </w:rPr>
        <w:t xml:space="preserve">Important information</w:t>
      </w:r>
    </w:p>
    <w:p w:rsidR="00000000" w:rsidDel="00000000" w:rsidP="00000000" w:rsidRDefault="00000000" w:rsidRPr="00000000" w14:paraId="00000071">
      <w:pPr>
        <w:shd w:fill="ffffff" w:val="clear"/>
        <w:spacing w:after="120" w:lineRule="auto"/>
        <w:rPr>
          <w:color w:val="222222"/>
          <w:sz w:val="20"/>
          <w:szCs w:val="20"/>
        </w:rPr>
      </w:pPr>
      <w:r w:rsidDel="00000000" w:rsidR="00000000" w:rsidRPr="00000000">
        <w:rPr>
          <w:color w:val="222222"/>
          <w:sz w:val="20"/>
          <w:szCs w:val="20"/>
          <w:rtl w:val="0"/>
        </w:rPr>
        <w:t xml:space="preserve">This communication is provided for information purposes only and is intended for the exclusive use of the recipient to whom it has been directly delivered by LGT Wealth Management UK LLP and is not to be reproduced, copied or made available to others.  The information presented herein provides a general update on market conditions and is not intended and should not be construed as an offer, invitation, solicitation or recommendation to buy or sell any specific investment or participate in any investment (or other) strategy.</w:t>
      </w:r>
      <w:r w:rsidDel="00000000" w:rsidR="00000000" w:rsidRPr="00000000">
        <w:rPr>
          <w:color w:val="1f497d"/>
          <w:sz w:val="20"/>
          <w:szCs w:val="20"/>
          <w:rtl w:val="0"/>
        </w:rPr>
        <w:t xml:space="preserve">  </w:t>
      </w:r>
      <w:r w:rsidDel="00000000" w:rsidR="00000000" w:rsidRPr="00000000">
        <w:rPr>
          <w:color w:val="222222"/>
          <w:sz w:val="20"/>
          <w:szCs w:val="20"/>
          <w:rtl w:val="0"/>
        </w:rPr>
        <w:t xml:space="preserve">Past performance is not an indication of future performance and the value of investments and the income derived from them may fluctuate and you may not receive back the amount you originally invest</w:t>
      </w:r>
    </w:p>
    <w:p w:rsidR="00000000" w:rsidDel="00000000" w:rsidP="00000000" w:rsidRDefault="00000000" w:rsidRPr="00000000" w14:paraId="00000072">
      <w:pPr>
        <w:shd w:fill="ffffff" w:val="clear"/>
        <w:spacing w:after="120" w:lineRule="auto"/>
        <w:rPr>
          <w:color w:val="222222"/>
          <w:sz w:val="20"/>
          <w:szCs w:val="20"/>
        </w:rPr>
      </w:pPr>
      <w:r w:rsidDel="00000000" w:rsidR="00000000" w:rsidRPr="00000000">
        <w:rPr>
          <w:color w:val="222222"/>
          <w:sz w:val="20"/>
          <w:szCs w:val="20"/>
          <w:rtl w:val="0"/>
        </w:rPr>
        <w:t xml:space="preserve">Although this document has been prepared on the basis of information we believe to be reliable, LGT Wealth Management UK LLP gives no representation or warranty in relation to the accuracy or completeness of the information presented herein. </w:t>
      </w:r>
      <w:r w:rsidDel="00000000" w:rsidR="00000000" w:rsidRPr="00000000">
        <w:rPr>
          <w:b w:val="1"/>
          <w:color w:val="222222"/>
          <w:sz w:val="20"/>
          <w:szCs w:val="20"/>
          <w:rtl w:val="0"/>
        </w:rPr>
        <w:t xml:space="preserve">The information presented herein does not provide sufficient information on which to make an informed investment decision</w:t>
      </w:r>
      <w:r w:rsidDel="00000000" w:rsidR="00000000" w:rsidRPr="00000000">
        <w:rPr>
          <w:color w:val="222222"/>
          <w:sz w:val="20"/>
          <w:szCs w:val="20"/>
          <w:rtl w:val="0"/>
        </w:rPr>
        <w:t xml:space="preserve">. No liability is accepted whatsoever by LGT Wealth Management UK LLP, employees and associated companies for any direct or consequential loss arising from this document.</w:t>
      </w:r>
    </w:p>
    <w:p w:rsidR="00000000" w:rsidDel="00000000" w:rsidP="00000000" w:rsidRDefault="00000000" w:rsidRPr="00000000" w14:paraId="00000073">
      <w:pPr>
        <w:shd w:fill="ffffff" w:val="clear"/>
        <w:spacing w:after="120" w:lineRule="auto"/>
        <w:rPr>
          <w:color w:val="222222"/>
          <w:sz w:val="20"/>
          <w:szCs w:val="20"/>
        </w:rPr>
      </w:pPr>
      <w:r w:rsidDel="00000000" w:rsidR="00000000" w:rsidRPr="00000000">
        <w:rPr>
          <w:color w:val="222222"/>
          <w:sz w:val="20"/>
          <w:szCs w:val="20"/>
          <w:rtl w:val="0"/>
        </w:rPr>
        <w:t xml:space="preserve">LGT Wealth Management UK LLP is authorised and regulated by the Financial Conduct Authority.</w:t>
      </w:r>
    </w:p>
    <w:p w:rsidR="00000000" w:rsidDel="00000000" w:rsidP="00000000" w:rsidRDefault="00000000" w:rsidRPr="00000000" w14:paraId="0000007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mail.google.com/mail/u/0/#m_-6814962865553090050__ftn4" TargetMode="External"/><Relationship Id="rId10" Type="http://schemas.openxmlformats.org/officeDocument/2006/relationships/hyperlink" Target="https://mail.google.com/mail/u/0/#m_-6814962865553090050__ftn3" TargetMode="External"/><Relationship Id="rId9" Type="http://schemas.openxmlformats.org/officeDocument/2006/relationships/hyperlink" Target="https://mail.google.com/mail/u/0/#m_-6814962865553090050__ftn2"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mail.google.com/mail/u/0/#m_-6814962865553090050__ftn1"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